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III 20</w:t>
      </w:r>
    </w:p>
    <w:p>
      <w:r>
        <w:t>Bundesgericht (BGE), 1966-05-26, DE</w:t>
      </w:r>
    </w:p>
    <w:p>
      <w:r>
        <w:rPr>
          <w:b/>
        </w:rPr>
        <w:t xml:space="preserve">Quelle: </w:t>
      </w:r>
      <w:r>
        <w:t>https://mcp.opencaselaw.ch/entscheid/bge_92 III 20</w:t>
      </w:r>
    </w:p>
    <w:p>
      <w:r>
        <w:t>FR: ATF 92 III 20</w:t>
      </w:r>
    </w:p>
    <w:p>
      <w:r>
        <w:t>IT: DTF 92 III 20</w:t>
      </w:r>
    </w:p>
    <w:p>
      <w:pPr>
        <w:pStyle w:val="Heading2"/>
      </w:pPr>
      <w:r>
        <w:t>Regeste</w:t>
      </w:r>
    </w:p>
    <w:p>
      <w:r>
        <w:t>Regeste Arrestvollzug. Art. 271 ff. SchKG. Vinkulierte Namenaktien als Gegenstand der Zwangsvollstreckung. Art. 686 Abs. 4 OR. 1. Das mit dem Vollzug beauftragte Betreibungsamt hat die Grundlagen des Arrestbefehls nicht nachzuprüfen, und es darf keine im Arrestbefehl nicht genannten Gegenstände arrestieren. (Erw. 1 und 2). 2. Namenaktien, auch vinkulierte, sind Wertpapiere. Ebenso wie bei Inhaberaktien ist es unzulässig, losgelöst vom Titel ein diesem zu Grunde liegendes "Beteiligungsrecht" am Sitz der Aktiengesellschaft zu arrestieren. (Erw. 3).</w:t>
      </w:r>
    </w:p>
    <w:p>
      <w:pPr>
        <w:pStyle w:val="Heading2"/>
      </w:pPr>
      <w:r>
        <w:t>Erwägungen</w:t>
      </w:r>
    </w:p>
    <w:p>
      <w:r>
        <w:rPr>
          <w:b/>
        </w:rPr>
        <w:t>E. 1</w:t>
      </w:r>
    </w:p>
    <w:p>
      <w:r>
        <w:t>Die Arrestlegung beruht auf dem von der zuständigen Behörde nach Art. 272 und 274 SchKG erlassenen Arrestbefehl. Dessen Grundlagen sind vom beauftragten Betreibungsamte BGE 92 III 20 S. 24 nicht nachzuprüfen ( BGE 64 III 128 , BGE 66 III 73 ). Freilich hat dieses Amt unter Umständen den Vollzug zu verweigern (vgl. BGE 73 III 101 , BGE 78 III 69 Erw. 3, BGE 79 III 4 Erw. 1, BGE 80 III 126 Erw. 3), und auch die Anwendung der für die Pfändung geltenden Bestimmungen der Art. 91 bis 109 SchKG ( Art. 275 SchKG ) kann zum Ausschluss bestimmter im Arrestbefehl genannter Gegenstände führen. Keinesfalls aber darf das Betreibungsamt Gegenstände arrestieren, die im Arrestbefehl gar nicht genannt sind; geschieht es dennoch, so ist die Arrestierung insoweit als nichtig anzusehen ( BGE 90 III 50 ).</w:t>
      </w:r>
    </w:p>
    <w:p>
      <w:r>
        <w:rPr>
          <w:b/>
        </w:rPr>
        <w:t>E. 2</w:t>
      </w:r>
    </w:p>
    <w:p>
      <w:r>
        <w:t>Im vorliegenden Falle umschrieb der Arrestbefehl die (gemäss den Angaben der Gläubigerin) nach b) zu arrestierenden Gegenstände allgemein als "Beteiligungen und Guthaben der Schuldner bei der Eurofima, wie sie sich aus dem Aktienbuch der Eurofima und aus ihrer Buchhaltung ergeben". Zugleich wurde dem Betreibungsamt aufgegeben, lediglich einen schriftlichen Bericht der Eurofima darüber einzuholen, ob und was (auch ziffernmässig) unter diese Gattung von Gegenständen falle. Das Betreibungsamt befolgte diese Weisung, nahm den negativen Bericht der Eurofima entgegen und gab dessen Inhalt in der Arresturkunde wieder, um auf diese Weise das Fehlen eines unter b) fallenden Arrestgegenstandes darzutun. Es erscheint als fraglich, ob unter diesen Umständen von unvollständigem Vollzug des Arrestes die Rede sein und die in BGE 91 III 36 Erw. 5 offen gelassene Frage überhaupt noch zum Gegenstand einer Beschwerde gemacht werden konnte.</w:t>
      </w:r>
    </w:p>
    <w:p>
      <w:r>
        <w:rPr>
          <w:b/>
        </w:rPr>
        <w:t>E. 3</w:t>
      </w:r>
    </w:p>
    <w:p>
      <w:r>
        <w:t>Gerade wegen der allgemeinen Umschreibung der nach b) zu arrestierenden Gegenstände liess sich indessen dem Arrestbefehl nicht mit Sicherheit entnehmen, dass unter "Beteiligungen" nur solche, die nicht in Aktientiteln verkörpert waren, also allfällige andere Beteiligungen als diejenige am Aktienkapital, zu verstehen sein sollten. Man kann vielmehr den Arrestbefehl auch dahin auslegen, er wolle jene Frage, ob bei stark vinkulierten Aktien eine von den Titeln getrennte "Beteiligung" am Aktienkapital, und zwar am Gesellschaftssitz, arrestiert werden könne, nicht von vornherein beantworten, sondern behalte ihre Beantwortung dem Arrestvollzuge vor. Allein, auch wenn man hievon ausgeht, ist die Beschwerde der Gläubigerin mit Recht abgewiesen und jene im früheren Rekursverfahren offengebliebene Frage aus guten Gründen verneint worden. Es steht fest, dass die Eurofima Aktientitel BGE 92 III 20 S. 25 ausgegeben hat; deshalb kommt nicht etwa in Frage, der Arrestschuldnerin blosse Rechte eines Aktienzeichners zuzuschreiben, wie sie vor der Ausgabe von Aktien oder Interimsscheinen nach Art von Forderungen arrestiert werden könnten ( BGE 77 III 90 ). Die Aktientitel sind Wertpapiere. Diese Eigenschaft kommt, wie allgemein anerkannt ist, auch vinkulierten Namenaktien zu, und die streitige Frage, ob man es dabei mit Namenpapieren im engern Sinne, also mit Rektapapieren, oder mit Orderpapieren zu tun habe, ist dahin entschieden worden, dass Orderpapiere vorliegen, sofern die Statuten die Übertragung durch Indossament nicht ausschliessen ( BGE 78 II 265 , BGE 81 II 202 , BGE 83 II 304 ). Die Statuten der Eurofima enthalten keine dahingehende Ausschlussklausel, sie verbieten die Übertragung auch nicht schlechthin ( Art. 684 Abs. 1 OR ; BGE 75 II 350 Erw. 2), und die Vinkulierung der Aktien gemäss Art. 7 und 9 der Statuten beschränkt zwar die Übertragbarkeit der Rechte eines Aktionärs in bestimmter Weise, ändert aber nichts am Wertpapiercharakter der Aktientitel, so dass die Form der Übertragung eben in der Abtretung (Indossierung) der Aktientitel zu bestehen hat. Es braucht hier nicht zu der umstrittenen Frage Stellung genommen zu werden, inwiefern eine Spaltung der Aktionärrechte eintritt, wenn eine Abtretung (Indossierung) auf Grund eines Rechtsgeschäftes (Kaufvertrages usw.) erfolgt ist, die Zustimmung der Gesellschaft aber ausbleibt (vgl. dazu BGE 83 II 297 ff. und BGE 90 II 235 ff. mit Literaturhinweisen). Denn nach der für den Erwerb der Aktien "infolge Erbganges, ehelichen Güterrechts oder Zwangsvollstreckung" geltenden Spezialbestimmung des Art. 686 Abs. 4 OR kann die Eintragung in das Aktienbuch nur verweigert werden, wenn Mitglieder der Verwaltung oder einzelne Aktionäre sich bereit erklären, die Aktien zum Börsenkurs, und, wenn ein solcher nicht besteht, zum wirklichen Wert im Zeitpunkte der Anmeldung zur Eintragung zu übernehmen. Durch diese zwingende Bestimmung ist dafür gesorgt, dass sich auch vinkulierte Aktien in wirksamer Weise verwerten lassen, indem der Erwerber entweder als neuer Aktionär eingetragen werden muss oder ihm der Börsenwert bzw. der wirkliche Wert der erworbenen Aktien auszuzahlen ist; der nicht genehme Erwerber erhält also von Gesetzes wegen eine volle Entschädigung (vgl. W. BÜRGI, Kommentar, N. 1 am Ende, 82 und 83 zu Art. 686 OR ; übereinstimmend SCHUCANY, Kommentar, 2. A., N. 3 BGE 92 III 20 S. 26 zu Art. 686 OR ; nichts Abweichendes besagt die von der Rekurrentin angerufene N. 1 zu Art. 684 OR ). Bei alldem ist Gegenstand der Verwertung der die Rechte des Aktionärs verkörpernde Aktientitel; es besteht also in dieser Hinsicht die gleiche Rechtslage wie bei Inhaberaktien (wozu vgl. BGE 88 III 142 /43). Da sich diese Titel nicht in Basel befinden, konnte das Betreibungsamt sie nicht mit Arrest belegen. Anderseits besteht die Beteiligung der Arrestschuldnerin an der Eurofima, wie deren Auskunft ergab, ausschliesslich aus dem Aktienbesitz. Gewöhnliche Forderungen, die wegen des ausländischen Sitzes der Arrestschuldnerin beim Drittschuldner in der Schweiz arrestiert werden könnten, sind nicht nachgewiesen. Endlich sind die Aktien der Eurofima nicht gänzlich unübertragbar, wie bereits bemerkt. Sie dürfen an Aktionäre übertragen werden, welche Eisenbahnverwaltungen von Staaten sein müssen, die dem Abkommen vom 20. Oktober 1955 beigetreten sind. Was für Rechtsfolgen sich an ein unbedingtes Übertragungsverbot der Statuten zu knüpfen hätten, ist hier nicht zu prüfen.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